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AA" w:rsidRPr="00E86C9D" w:rsidRDefault="00E86C9D" w:rsidP="00E86C9D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0"/>
          <w:szCs w:val="30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111111"/>
          <w:kern w:val="36"/>
          <w:sz w:val="30"/>
          <w:szCs w:val="30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-489585</wp:posOffset>
                </wp:positionV>
                <wp:extent cx="2162810" cy="1622425"/>
                <wp:effectExtent l="0" t="1905" r="317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162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C9D" w:rsidRDefault="00E86C9D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1AF82AF3" wp14:editId="3D945B68">
                                  <wp:extent cx="1836751" cy="1380638"/>
                                  <wp:effectExtent l="19050" t="0" r="0" b="391160"/>
                                  <wp:docPr id="1" name="Рисунок 1" descr="сенсорная комната — КРИЗИСНЫЙ ЦЕНТР ПОМОЩИ ЖЕНЩИНАМ. г. Астрахань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сенсорная комната — КРИЗИСНЫЙ ЦЕНТР ПОМОЩИ ЖЕНЩИНАМ. г. Астрахань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8844" cy="1412278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4pt;margin-top:-38.55pt;width:170.3pt;height:1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9QgQIAABA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" stroked="f">
                <v:textbox>
                  <w:txbxContent>
                    <w:p w:rsidR="00E86C9D" w:rsidRDefault="00E86C9D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1AF82AF3" wp14:editId="3D945B68">
                            <wp:extent cx="1836751" cy="1380638"/>
                            <wp:effectExtent l="19050" t="0" r="0" b="391160"/>
                            <wp:docPr id="1" name="Рисунок 1" descr="сенсорная комната — КРИЗИСНЫЙ ЦЕНТР ПОМОЩИ ЖЕНЩИНАМ. г. Астрахань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сенсорная комната — КРИЗИСНЫЙ ЦЕНТР ПОМОЩИ ЖЕНЩИНАМ. г. Астрахань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8844" cy="1412278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25AA" w:rsidRPr="004C54D4">
        <w:rPr>
          <w:rFonts w:ascii="Times New Roman" w:eastAsia="Times New Roman" w:hAnsi="Times New Roman" w:cs="Times New Roman"/>
          <w:b/>
          <w:color w:val="111111"/>
          <w:sz w:val="30"/>
          <w:szCs w:val="30"/>
          <w:lang w:val="ru-RU"/>
        </w:rPr>
        <w:t xml:space="preserve">Адаптивная образовательная среда </w:t>
      </w:r>
      <w:r>
        <w:rPr>
          <w:rFonts w:ascii="Times New Roman" w:eastAsia="Times New Roman" w:hAnsi="Times New Roman" w:cs="Times New Roman"/>
          <w:b/>
          <w:color w:val="111111"/>
          <w:sz w:val="30"/>
          <w:szCs w:val="30"/>
          <w:lang w:val="ru-RU"/>
        </w:rPr>
        <w:br/>
      </w:r>
      <w:r w:rsidR="002525AA" w:rsidRPr="004C54D4">
        <w:rPr>
          <w:rFonts w:ascii="Times New Roman" w:eastAsia="Times New Roman" w:hAnsi="Times New Roman" w:cs="Times New Roman"/>
          <w:b/>
          <w:color w:val="111111"/>
          <w:sz w:val="30"/>
          <w:szCs w:val="30"/>
          <w:lang w:val="ru-RU"/>
        </w:rPr>
        <w:t xml:space="preserve">для детей с </w:t>
      </w:r>
      <w:r w:rsidR="00E04E89" w:rsidRPr="004C54D4">
        <w:rPr>
          <w:rFonts w:ascii="Times New Roman" w:eastAsia="Times New Roman" w:hAnsi="Times New Roman" w:cs="Times New Roman"/>
          <w:b/>
          <w:color w:val="111111"/>
          <w:sz w:val="30"/>
          <w:szCs w:val="30"/>
          <w:lang w:val="ru-RU"/>
        </w:rPr>
        <w:t>трудностями в обучении</w:t>
      </w:r>
    </w:p>
    <w:p w:rsidR="00594AFF" w:rsidRPr="00594AFF" w:rsidRDefault="002525AA" w:rsidP="00E86C9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111111"/>
          <w:sz w:val="30"/>
          <w:szCs w:val="30"/>
          <w:lang w:val="ru-RU"/>
        </w:rPr>
      </w:pPr>
      <w:r w:rsidRPr="00E04E89">
        <w:rPr>
          <w:rFonts w:ascii="Cuprum" w:eastAsia="Times New Roman" w:hAnsi="Cuprum" w:cs="Times New Roman"/>
          <w:bCs/>
          <w:iCs/>
          <w:color w:val="111111"/>
          <w:sz w:val="30"/>
          <w:szCs w:val="30"/>
          <w:lang w:val="ru-RU"/>
        </w:rPr>
        <w:t>Интегрированное обучение и воспитание</w:t>
      </w:r>
      <w:r w:rsidRPr="002525AA">
        <w:rPr>
          <w:rFonts w:ascii="Cuprum" w:eastAsia="Times New Roman" w:hAnsi="Cuprum" w:cs="Times New Roman"/>
          <w:i/>
          <w:iCs/>
          <w:color w:val="111111"/>
          <w:sz w:val="30"/>
          <w:szCs w:val="30"/>
        </w:rPr>
        <w:t> </w:t>
      </w:r>
      <w:r w:rsidRPr="002525AA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- </w:t>
      </w:r>
      <w:r w:rsidR="00E86C9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br/>
      </w:r>
      <w:r w:rsidRPr="002525AA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это организация специального образования, </w:t>
      </w:r>
      <w:r w:rsidR="00E86C9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br/>
      </w:r>
      <w:r w:rsidRPr="002525AA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при которой обучение и воспитание лиц с особенностями психофизического развития осуществляются одновременно с лицами, не относящимися к лицам с особенностями </w:t>
      </w:r>
      <w:r w:rsidRPr="00594AFF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психофизического развития.</w:t>
      </w:r>
    </w:p>
    <w:p w:rsidR="002525AA" w:rsidRPr="00594AFF" w:rsidRDefault="002525AA" w:rsidP="00E86C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111111"/>
          <w:sz w:val="30"/>
          <w:szCs w:val="30"/>
          <w:lang w:val="ru-RU"/>
        </w:rPr>
      </w:pPr>
      <w:r w:rsidRPr="00594AFF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Так как для большинства детей с ОПФР характерны следующие</w:t>
      </w:r>
      <w:r w:rsidRPr="002525AA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особенности:</w:t>
      </w:r>
      <w:r w:rsidR="00E04E89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  <w:r w:rsidRPr="002525AA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выполняя возможные для своего возраста действия, дети нуждаются в помощи взрослого;</w:t>
      </w:r>
      <w:r w:rsidR="00E04E89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  <w:r w:rsidRPr="002525AA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отсутствует или резко ограничен интерес к окружающему миру. При этом дети болезненно реагируют на любые изменения во внешней среде (смена обстановки, поведение окружающих);</w:t>
      </w:r>
      <w:r w:rsidR="00E04E89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  <w:r w:rsidRPr="002525AA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проблемы с координацией, мелкой моторикой, вниманием, отставание в формировании речи, мышления;</w:t>
      </w:r>
      <w:r w:rsidR="00E04E89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  <w:r w:rsidRPr="002525AA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нервозность, тревожность, высокое психомышечное напряжение.</w:t>
      </w:r>
    </w:p>
    <w:p w:rsidR="002525AA" w:rsidRPr="00E04E89" w:rsidRDefault="002525AA" w:rsidP="00E86C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2525AA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Необходимо обеспечить детям с особенностями в развитии особую </w:t>
      </w:r>
      <w:r w:rsidRPr="00E04E89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образовательную среду.</w:t>
      </w:r>
    </w:p>
    <w:p w:rsidR="002525AA" w:rsidRPr="002525AA" w:rsidRDefault="002525AA" w:rsidP="00E86C9D">
      <w:pPr>
        <w:spacing w:after="0" w:line="240" w:lineRule="auto"/>
        <w:ind w:firstLine="720"/>
        <w:jc w:val="both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594AFF">
        <w:rPr>
          <w:rFonts w:ascii="Times New Roman" w:eastAsia="Times New Roman" w:hAnsi="Times New Roman" w:cs="Times New Roman"/>
          <w:b/>
          <w:color w:val="111111"/>
          <w:sz w:val="30"/>
          <w:szCs w:val="30"/>
          <w:lang w:val="ru-RU"/>
        </w:rPr>
        <w:t>Адаптивная образовательная среда</w:t>
      </w:r>
      <w:r w:rsidRPr="00E04E89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– это не отдельно взятые объекты, а</w:t>
      </w:r>
      <w:r w:rsidRPr="002525AA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система. Совокупность всех средовых ресурсов модифицируемых определенным образом, обусловлена ограничениями, возникающими у детей при интеллектуальной недостаточности направлена на создание условий, облегчающих процессы восприятия, передвижения и пространственной ориентировки, планирования и реализации видов деятельности.</w:t>
      </w:r>
    </w:p>
    <w:p w:rsidR="002525AA" w:rsidRPr="00E04E89" w:rsidRDefault="00E04E89" w:rsidP="00E86C9D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Выделяют четыре </w:t>
      </w:r>
      <w:r w:rsidR="002525AA" w:rsidRPr="002525AA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основные группы средовых ресурсов:</w:t>
      </w:r>
      <w:r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  <w:r w:rsidR="002525AA" w:rsidRPr="00E04E89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предметные;</w:t>
      </w:r>
      <w:r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  <w:r w:rsidR="002525AA" w:rsidRPr="00E04E89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пространственные;</w:t>
      </w:r>
      <w:r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  <w:r w:rsidR="002525AA" w:rsidRPr="00E04E89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организационные;</w:t>
      </w:r>
      <w:r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  <w:r w:rsidR="002525AA" w:rsidRPr="00E04E89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социально-психологические.</w:t>
      </w:r>
    </w:p>
    <w:p w:rsidR="002525AA" w:rsidRPr="002525AA" w:rsidRDefault="002525AA" w:rsidP="00E86C9D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2525AA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Остановимся подробнее на каждом из них на примере старшей интегрированной группы для детей с </w:t>
      </w:r>
      <w:r w:rsidR="00E04E89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трудностями в обучении.</w:t>
      </w:r>
    </w:p>
    <w:p w:rsidR="002525AA" w:rsidRPr="002525AA" w:rsidRDefault="002525AA" w:rsidP="00E86C9D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594AFF">
        <w:rPr>
          <w:rFonts w:ascii="Times New Roman" w:eastAsia="Times New Roman" w:hAnsi="Times New Roman" w:cs="Times New Roman"/>
          <w:b/>
          <w:color w:val="111111"/>
          <w:sz w:val="30"/>
          <w:szCs w:val="30"/>
          <w:lang w:val="ru-RU"/>
        </w:rPr>
        <w:t>Предметные ресурсы:</w:t>
      </w:r>
      <w:r w:rsidRPr="002525AA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мебель, игрушки и игровые материалы, дидактические игры и др.</w:t>
      </w:r>
    </w:p>
    <w:p w:rsidR="002525AA" w:rsidRPr="002525AA" w:rsidRDefault="002525AA" w:rsidP="00E86C9D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Ребенок с </w:t>
      </w:r>
      <w:r w:rsidR="00594AFF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трудностями в обучении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длительное время остается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в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области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сенсомоторной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системы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поведения, поэтому в группе необходимо предусмотреть игры для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развития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сенсорно-перцептивной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сферы:</w:t>
      </w:r>
      <w:r w:rsidR="00594AFF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для развития зрительного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восприятия: образцы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цветной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бумаги, пластика, ткани, цветные дощечки, наборы плоскостных и объемных геометрических фигур, мозаика, цветной конструктор;</w:t>
      </w:r>
      <w:r w:rsidR="00594AFF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для развития слухового восприятия: звучащие предметы и 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lastRenderedPageBreak/>
        <w:t>музыкальные инструменты;</w:t>
      </w:r>
      <w:r w:rsidR="00594AFF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для развития осязания: кусочки разных видов бумаги, ткани и других материалов.</w:t>
      </w:r>
    </w:p>
    <w:p w:rsidR="002525AA" w:rsidRPr="002525AA" w:rsidRDefault="002525AA" w:rsidP="00E86C9D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Большинство детей с </w:t>
      </w:r>
      <w:r w:rsidR="00594AFF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трудностями в обучении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имеют нарушения как общей, так и мелкой моторики. Для развития общей моторики в группе рекомендуется иметь спортивный инвентарь для проведения подвижных игр и развития движен</w:t>
      </w:r>
      <w:r w:rsidR="00594AFF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ий: скакалки, мячи, кегли. 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Для развития мелкой моторики дидактические игрушки (пирамидки, башенки, матрешки), наборы мозаики и пластмассового конструктора, мелкие предметы (фишки, пуговицы</w:t>
      </w:r>
      <w:r w:rsidR="00594AFF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, магниты, камешки, ракушки и др.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)</w:t>
      </w:r>
    </w:p>
    <w:p w:rsidR="00594AFF" w:rsidRDefault="002525AA" w:rsidP="00E86C9D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Недоразвитие предметной, игровой и продуктивной деятельности детей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с </w:t>
      </w:r>
      <w:r w:rsidR="004C54D4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трудностями в обучении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недостаточностью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594AFF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обуславливает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594AFF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подбор</w:t>
      </w:r>
      <w:r w:rsidR="00594AFF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</w:t>
      </w:r>
      <w:r w:rsidRPr="00594AFF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достаточного</w:t>
      </w:r>
      <w:r w:rsidR="00594AFF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</w:t>
      </w:r>
      <w:r w:rsidRPr="00594AFF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количества</w:t>
      </w:r>
      <w:r w:rsidR="00594AFF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</w:t>
      </w:r>
      <w:r w:rsidRPr="00594AFF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игрушек и игрового</w:t>
      </w:r>
      <w:r w:rsidR="00594AFF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</w:t>
      </w:r>
      <w:r w:rsidRPr="00594AFF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материала:</w:t>
      </w:r>
    </w:p>
    <w:p w:rsidR="00594AFF" w:rsidRDefault="002525AA" w:rsidP="00E86C9D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игрушки и игровые материалы, моделирующие семейные отношения: куклы, кукольная мебель, домашние принадлежности;</w:t>
      </w:r>
    </w:p>
    <w:p w:rsidR="00594AFF" w:rsidRDefault="002525AA" w:rsidP="00E86C9D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игрушки и игровые материалы, моделирующие отношения вне дома: дикие и домашние животные, различные виды транспорта и другой техники;</w:t>
      </w:r>
    </w:p>
    <w:p w:rsidR="00594AFF" w:rsidRDefault="002525AA" w:rsidP="00E86C9D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игрушки и игровой материал для выражения творческой экспрессии: материал для изобразительной деятельности;</w:t>
      </w:r>
    </w:p>
    <w:p w:rsidR="002525AA" w:rsidRPr="002525AA" w:rsidRDefault="002525AA" w:rsidP="00E86C9D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полифункциональный игровой материал: кубики, строительный материал, конструкторы разного размера и из разного материала.</w:t>
      </w:r>
    </w:p>
    <w:p w:rsidR="002525AA" w:rsidRPr="002525AA" w:rsidRDefault="002525AA" w:rsidP="00E86C9D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Игрушки и игровой материал следует систематически обновлять с целью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формирования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у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детей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интереса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и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любознательности, повышения мотивации деятельности.</w:t>
      </w:r>
    </w:p>
    <w:p w:rsidR="002525AA" w:rsidRPr="002525AA" w:rsidRDefault="002525AA" w:rsidP="00E86C9D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Для детей интеллектуальной недостаточности создаются условия, побуждающие их к активности. В предметной среде используется специфическая организация пространства с «пассивным ассортиментом»: шариковый бассейн, разнофактурные сенсорные шары, модульные массажные коврики, емкости с кинезиологическим песком для проведения пескотерапии, сказкоигротерапии.</w:t>
      </w:r>
    </w:p>
    <w:p w:rsidR="002525AA" w:rsidRPr="002525AA" w:rsidRDefault="002525AA" w:rsidP="00E86C9D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Для проведения специально-организованной деятельности детей педагогу рекомендуется иметь: учебные пособия, иллюстративный материал.</w:t>
      </w:r>
    </w:p>
    <w:p w:rsidR="002525AA" w:rsidRPr="002525AA" w:rsidRDefault="002525AA" w:rsidP="00E86C9D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С целью формирования полноценных образов предметов и явлений окружающей действительности необходимо подбирать иллюстративный материал (рисунки, схемы, таблицы), который должен быть выполнен в реалистическом плане, цветном или графически четком черно-белом изображении.</w:t>
      </w:r>
    </w:p>
    <w:p w:rsidR="002525AA" w:rsidRPr="002525AA" w:rsidRDefault="002525AA" w:rsidP="00E86C9D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2525AA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Пространственные средовые ресурсы.</w:t>
      </w:r>
      <w:r w:rsidRPr="002525AA">
        <w:rPr>
          <w:rFonts w:ascii="Cuprum" w:eastAsia="Times New Roman" w:hAnsi="Cuprum" w:cs="Times New Roman"/>
          <w:color w:val="111111"/>
          <w:sz w:val="30"/>
          <w:szCs w:val="30"/>
        </w:rPr>
        <w:t>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Пространственные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ресурсы тесно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взаимосвязаны с предметными ресурсами и предполагают наличие для каждого центра и уголка специфичных предметных ресурсов: учебный 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lastRenderedPageBreak/>
        <w:t>центр - учебные пособия; игровой центр – игрушки и игровой материал и т.д.</w:t>
      </w:r>
    </w:p>
    <w:p w:rsidR="002525AA" w:rsidRPr="004C54D4" w:rsidRDefault="002525AA" w:rsidP="00E8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Характеристика пространственных ресурсов образовательной среды.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Среди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средовых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ресурсов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значительное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внимание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отводится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пространственным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ресурсам, которые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предусматривают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создание условий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для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свободного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перемещения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и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ориентировки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</w:t>
      </w:r>
      <w:r w:rsidRPr="004C54D4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воспитанников.</w:t>
      </w:r>
    </w:p>
    <w:p w:rsidR="002525AA" w:rsidRPr="002525AA" w:rsidRDefault="002525AA" w:rsidP="00E86C9D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4C54D4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При планировании пространства помещения рекомендуется</w:t>
      </w:r>
      <w:r w:rsidRPr="004C54D4">
        <w:rPr>
          <w:rFonts w:ascii="Times New Roman" w:eastAsia="Times New Roman" w:hAnsi="Times New Roman" w:cs="Times New Roman"/>
          <w:color w:val="000000"/>
          <w:sz w:val="30"/>
          <w:szCs w:val="30"/>
        </w:rPr>
        <w:t>  </w:t>
      </w:r>
      <w:r w:rsidRPr="004C54D4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учитывать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его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многофункциональность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и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соответственно предусматривать различные уголки или центры:</w:t>
      </w:r>
    </w:p>
    <w:p w:rsidR="002525AA" w:rsidRPr="004C54D4" w:rsidRDefault="002525AA" w:rsidP="00E8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4C54D4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/>
        </w:rPr>
        <w:t>Игровой центр (сюжетно-ролевые игры).</w:t>
      </w:r>
    </w:p>
    <w:p w:rsidR="002525AA" w:rsidRPr="004C54D4" w:rsidRDefault="002525AA" w:rsidP="00E8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4C54D4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Центр интеллектуального развития</w:t>
      </w:r>
    </w:p>
    <w:p w:rsidR="002525AA" w:rsidRPr="004C54D4" w:rsidRDefault="002525AA" w:rsidP="00E8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4C54D4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/>
        </w:rPr>
        <w:t>Театрально-музыкальный центр</w:t>
      </w:r>
    </w:p>
    <w:p w:rsidR="002525AA" w:rsidRPr="004C54D4" w:rsidRDefault="002525AA" w:rsidP="00E8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4C54D4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/>
        </w:rPr>
        <w:t>Центр познавательной практической деятельности</w:t>
      </w:r>
    </w:p>
    <w:p w:rsidR="002525AA" w:rsidRPr="004C54D4" w:rsidRDefault="002525AA" w:rsidP="00E8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4C54D4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/>
        </w:rPr>
        <w:t>Центр строительно-конструктивных игр</w:t>
      </w:r>
    </w:p>
    <w:p w:rsidR="002525AA" w:rsidRPr="004C54D4" w:rsidRDefault="002525AA" w:rsidP="00E8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4C54D4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/>
        </w:rPr>
        <w:t>Экологический центр.</w:t>
      </w:r>
      <w:r w:rsidRPr="004C54D4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 </w:t>
      </w:r>
    </w:p>
    <w:p w:rsidR="002525AA" w:rsidRPr="004C54D4" w:rsidRDefault="002525AA" w:rsidP="00E8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4C54D4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/>
        </w:rPr>
        <w:t>Центр творчества.</w:t>
      </w:r>
    </w:p>
    <w:p w:rsidR="002525AA" w:rsidRPr="004C54D4" w:rsidRDefault="002525AA" w:rsidP="00E8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4C54D4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/>
        </w:rPr>
        <w:t>Центр развития движений.</w:t>
      </w:r>
      <w:r w:rsidRPr="004C54D4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 </w:t>
      </w:r>
    </w:p>
    <w:p w:rsidR="002525AA" w:rsidRPr="004C54D4" w:rsidRDefault="002525AA" w:rsidP="00E8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4C54D4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/>
        </w:rPr>
        <w:t>Уголок безопасности.</w:t>
      </w:r>
      <w:r w:rsidRPr="004C54D4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 </w:t>
      </w:r>
    </w:p>
    <w:p w:rsidR="002525AA" w:rsidRPr="004C54D4" w:rsidRDefault="002525AA" w:rsidP="00E8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4C54D4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/>
        </w:rPr>
        <w:t>Уголок уединения</w:t>
      </w:r>
    </w:p>
    <w:p w:rsidR="002525AA" w:rsidRPr="004C54D4" w:rsidRDefault="002525AA" w:rsidP="00E8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4C54D4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/>
        </w:rPr>
        <w:t>Уголок дежурных</w:t>
      </w:r>
      <w:r w:rsidRPr="004C54D4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 </w:t>
      </w:r>
    </w:p>
    <w:p w:rsidR="002525AA" w:rsidRPr="002525AA" w:rsidRDefault="002525AA" w:rsidP="00E86C9D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Особенности пространственной ориентировки, трудности коммуникативного общения обуславливают необходимость «символического сопровождения» пространственных ресурсов. Изолированность и зависимость ребенка с интеллектуальной недостаточностью от внешних условий может быть преодолена с помощью символов (пиктограммам), которые должны быть конкретными и простыми для понимания.</w:t>
      </w:r>
    </w:p>
    <w:p w:rsidR="004C54D4" w:rsidRDefault="002525AA" w:rsidP="00E86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Организационные ресурсы направлены на восстановление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и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укрепление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здоровья, поддержание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работоспособности, предупреждение переутомления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воспитанников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и реализуются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на основе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систематического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контроля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со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</w:rPr>
        <w:t>  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стороны, педагогов и родителей. Общий распорядок дня предусматривает: образовательную деятельность, прогулку, сон, время для организации игровой, трудовой, оздоровительной, художественной деятельности. При организации любого вида деятельности, связанного с психическим или физическим развитием, у детей данной категории быстро возникает перенапряжение нервной системы, утомление, что оказывает влияние на снижение </w:t>
      </w:r>
      <w:r w:rsidRPr="002525AA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lastRenderedPageBreak/>
        <w:t>работоспособности, отвлекаемость и ослабление внимания. Таким образом, необходимо своевременно чередовать различные виды деятельности, предусмотренные распорядком, планировать физкультурно-оздоровительные мероприятия, обеспечивающие повышение жизненного тонуса, активность и работоспособность детей.</w:t>
      </w:r>
      <w:r w:rsidR="004C54D4" w:rsidRPr="004C5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525AA" w:rsidRPr="004C54D4" w:rsidRDefault="004C54D4" w:rsidP="00E86C9D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4C54D4">
        <w:rPr>
          <w:rFonts w:ascii="Times New Roman" w:eastAsia="Times New Roman" w:hAnsi="Times New Roman" w:cs="Times New Roman"/>
          <w:sz w:val="30"/>
          <w:szCs w:val="30"/>
        </w:rPr>
        <w:t>Социально-психологические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4C54D4">
        <w:rPr>
          <w:rFonts w:ascii="Times New Roman" w:eastAsia="Times New Roman" w:hAnsi="Times New Roman" w:cs="Times New Roman"/>
          <w:sz w:val="30"/>
          <w:szCs w:val="30"/>
        </w:rPr>
        <w:t>ресурсы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: </w:t>
      </w:r>
    </w:p>
    <w:tbl>
      <w:tblPr>
        <w:tblW w:w="97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9683"/>
      </w:tblGrid>
      <w:tr w:rsidR="002525AA" w:rsidRPr="00E86C9D" w:rsidTr="004C54D4"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5AA" w:rsidRPr="004C54D4" w:rsidRDefault="002525AA" w:rsidP="004C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4D4" w:rsidRDefault="002525AA" w:rsidP="004C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4C54D4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высокая эмоциональная насыщенность всех видов взаимодей</w:t>
            </w:r>
            <w:r w:rsidRPr="004C54D4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softHyphen/>
              <w:t>ствия;</w:t>
            </w:r>
          </w:p>
          <w:p w:rsidR="004C54D4" w:rsidRDefault="002525AA" w:rsidP="004C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4C54D4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 xml:space="preserve">ситуации успеха; </w:t>
            </w:r>
          </w:p>
          <w:p w:rsidR="004C54D4" w:rsidRDefault="002525AA" w:rsidP="004C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4C54D4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активная оценочная деятельность всех участников образователь</w:t>
            </w:r>
            <w:r w:rsidRPr="004C54D4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softHyphen/>
              <w:t>ного процесса;</w:t>
            </w:r>
          </w:p>
          <w:p w:rsidR="004C54D4" w:rsidRDefault="002525AA" w:rsidP="004C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4C54D4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благоприятный социальный статус ребенка и его родителей;</w:t>
            </w:r>
          </w:p>
          <w:p w:rsidR="004C54D4" w:rsidRDefault="002525AA" w:rsidP="004C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4C54D4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способность видеть сильные стороны ребенка;</w:t>
            </w:r>
          </w:p>
          <w:p w:rsidR="004C54D4" w:rsidRDefault="002525AA" w:rsidP="004C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4C54D4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наличие желания и умения взаимодействоват</w:t>
            </w:r>
            <w:r w:rsidR="004C54D4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ь с ребенком и его родителями;</w:t>
            </w:r>
          </w:p>
          <w:p w:rsidR="004C54D4" w:rsidRDefault="002525AA" w:rsidP="004C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4C54D4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адекватные установки по отношению к детям с особенностями пси</w:t>
            </w:r>
            <w:r w:rsidRPr="004C54D4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softHyphen/>
              <w:t>хофизического развития и его родителей со стороны педагогов персонала, здоровых детей, родителей;</w:t>
            </w:r>
          </w:p>
          <w:p w:rsidR="002525AA" w:rsidRPr="004C54D4" w:rsidRDefault="002525AA" w:rsidP="004C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4C54D4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образец поведения педагогов по отношению к детям с особенностями психофизического развития;</w:t>
            </w:r>
          </w:p>
        </w:tc>
      </w:tr>
    </w:tbl>
    <w:p w:rsidR="002525AA" w:rsidRPr="004C54D4" w:rsidRDefault="002525AA" w:rsidP="004C5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4C54D4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="004C54D4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С</w:t>
      </w:r>
      <w:r w:rsidRPr="004C54D4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пецифика организации образовательной среды для детей с особенностями психофизического развития в условиях образо</w:t>
      </w:r>
      <w:r w:rsidRPr="004C54D4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softHyphen/>
        <w:t>вательной интеграции определяется ее выраженной ориентацией на обеспечение каждому ребенку «своего места», где он будет принят та</w:t>
      </w:r>
      <w:r w:rsidRPr="004C54D4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softHyphen/>
        <w:t>ким, каков он есть, и сможет максимально раскрыть и реализовать свои потенциальные возможности. Ее яркость, необычность, комфортность достигается за счет подбора средовых ресурсов, наиболее активных в плане поддержки, стимуляции и коррекции, которые способствуют не только преодолению отставаний в психофизическом развитии, но и стано</w:t>
      </w:r>
      <w:r w:rsidRPr="004C54D4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softHyphen/>
        <w:t>вятся действенным средством профилактики вторичных отклонений.</w:t>
      </w:r>
    </w:p>
    <w:p w:rsidR="002525AA" w:rsidRPr="004C54D4" w:rsidRDefault="002525AA" w:rsidP="002525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4C54D4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</w:p>
    <w:p w:rsidR="002525AA" w:rsidRPr="004C54D4" w:rsidRDefault="002525AA" w:rsidP="002525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4C54D4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</w:p>
    <w:p w:rsidR="002525AA" w:rsidRPr="004C54D4" w:rsidRDefault="002525AA" w:rsidP="002525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4C54D4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</w:p>
    <w:p w:rsidR="002525AA" w:rsidRPr="004C54D4" w:rsidRDefault="002525AA" w:rsidP="002525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4C54D4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</w:p>
    <w:p w:rsidR="002525AA" w:rsidRPr="00594AFF" w:rsidRDefault="002525AA" w:rsidP="002525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</w:p>
    <w:p w:rsidR="002525AA" w:rsidRPr="004C54D4" w:rsidRDefault="002525AA" w:rsidP="002525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4C54D4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</w:p>
    <w:p w:rsidR="002525AA" w:rsidRPr="004C54D4" w:rsidRDefault="002525AA" w:rsidP="002525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4C54D4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</w:p>
    <w:p w:rsidR="002525AA" w:rsidRPr="004C54D4" w:rsidRDefault="002525AA" w:rsidP="002525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4C54D4">
        <w:rPr>
          <w:rFonts w:ascii="Times New Roman" w:eastAsia="Times New Roman" w:hAnsi="Times New Roman" w:cs="Times New Roman"/>
          <w:color w:val="111111"/>
          <w:sz w:val="30"/>
          <w:szCs w:val="30"/>
        </w:rPr>
        <w:lastRenderedPageBreak/>
        <w:t> </w:t>
      </w:r>
    </w:p>
    <w:p w:rsidR="002525AA" w:rsidRPr="004C54D4" w:rsidRDefault="002525AA" w:rsidP="00E04E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4C54D4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</w:p>
    <w:p w:rsidR="002525AA" w:rsidRPr="004C54D4" w:rsidRDefault="002525AA" w:rsidP="002525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4C54D4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</w:p>
    <w:p w:rsidR="002525AA" w:rsidRPr="004C54D4" w:rsidRDefault="002525AA" w:rsidP="002525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4C54D4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</w:p>
    <w:p w:rsidR="002525AA" w:rsidRPr="004C54D4" w:rsidRDefault="002525AA" w:rsidP="002525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4C54D4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</w:p>
    <w:p w:rsidR="002525AA" w:rsidRPr="004C54D4" w:rsidRDefault="002525AA" w:rsidP="002525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4C54D4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</w:p>
    <w:p w:rsidR="002525AA" w:rsidRPr="004C54D4" w:rsidRDefault="002525AA" w:rsidP="002525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4C54D4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</w:p>
    <w:p w:rsidR="002525AA" w:rsidRPr="004C54D4" w:rsidRDefault="002525AA" w:rsidP="00E04E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4C54D4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</w:p>
    <w:p w:rsidR="00E645DA" w:rsidRPr="004C54D4" w:rsidRDefault="00E645DA">
      <w:pPr>
        <w:rPr>
          <w:rFonts w:ascii="Times New Roman" w:hAnsi="Times New Roman" w:cs="Times New Roman"/>
          <w:lang w:val="ru-RU"/>
        </w:rPr>
      </w:pPr>
    </w:p>
    <w:sectPr w:rsidR="00E645DA" w:rsidRPr="004C54D4" w:rsidSect="00E86C9D"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2AA0"/>
    <w:multiLevelType w:val="multilevel"/>
    <w:tmpl w:val="F980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C0C9A"/>
    <w:multiLevelType w:val="multilevel"/>
    <w:tmpl w:val="42BE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344F4"/>
    <w:multiLevelType w:val="multilevel"/>
    <w:tmpl w:val="335A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63BD6"/>
    <w:multiLevelType w:val="multilevel"/>
    <w:tmpl w:val="7ADE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0A109C"/>
    <w:multiLevelType w:val="multilevel"/>
    <w:tmpl w:val="E544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BF057D"/>
    <w:multiLevelType w:val="multilevel"/>
    <w:tmpl w:val="7B38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F1582"/>
    <w:multiLevelType w:val="multilevel"/>
    <w:tmpl w:val="88CE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5503E3"/>
    <w:multiLevelType w:val="multilevel"/>
    <w:tmpl w:val="7C30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84727D"/>
    <w:multiLevelType w:val="multilevel"/>
    <w:tmpl w:val="E78A5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A474C6"/>
    <w:multiLevelType w:val="multilevel"/>
    <w:tmpl w:val="51DA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F616E1"/>
    <w:multiLevelType w:val="multilevel"/>
    <w:tmpl w:val="B11C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03552E"/>
    <w:multiLevelType w:val="multilevel"/>
    <w:tmpl w:val="3380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CA6CFC"/>
    <w:multiLevelType w:val="multilevel"/>
    <w:tmpl w:val="B2B8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595801"/>
    <w:multiLevelType w:val="multilevel"/>
    <w:tmpl w:val="F0F2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581E79"/>
    <w:multiLevelType w:val="multilevel"/>
    <w:tmpl w:val="800E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80097B"/>
    <w:multiLevelType w:val="multilevel"/>
    <w:tmpl w:val="C726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5C1B92"/>
    <w:multiLevelType w:val="multilevel"/>
    <w:tmpl w:val="E8BC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CF293C"/>
    <w:multiLevelType w:val="multilevel"/>
    <w:tmpl w:val="162C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DA4AA3"/>
    <w:multiLevelType w:val="multilevel"/>
    <w:tmpl w:val="4094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60612"/>
    <w:multiLevelType w:val="multilevel"/>
    <w:tmpl w:val="1B52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AB4B32"/>
    <w:multiLevelType w:val="multilevel"/>
    <w:tmpl w:val="2552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972DD8"/>
    <w:multiLevelType w:val="multilevel"/>
    <w:tmpl w:val="F8BA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6D668C"/>
    <w:multiLevelType w:val="multilevel"/>
    <w:tmpl w:val="BBF0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AF594A"/>
    <w:multiLevelType w:val="multilevel"/>
    <w:tmpl w:val="6A38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38019F"/>
    <w:multiLevelType w:val="multilevel"/>
    <w:tmpl w:val="ADA4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C04071"/>
    <w:multiLevelType w:val="multilevel"/>
    <w:tmpl w:val="DEDE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A8722D"/>
    <w:multiLevelType w:val="multilevel"/>
    <w:tmpl w:val="F224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165024"/>
    <w:multiLevelType w:val="multilevel"/>
    <w:tmpl w:val="897E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A93138"/>
    <w:multiLevelType w:val="multilevel"/>
    <w:tmpl w:val="BF08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912C3C"/>
    <w:multiLevelType w:val="multilevel"/>
    <w:tmpl w:val="53B2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9"/>
  </w:num>
  <w:num w:numId="5">
    <w:abstractNumId w:val="3"/>
  </w:num>
  <w:num w:numId="6">
    <w:abstractNumId w:val="1"/>
  </w:num>
  <w:num w:numId="7">
    <w:abstractNumId w:val="19"/>
  </w:num>
  <w:num w:numId="8">
    <w:abstractNumId w:val="0"/>
  </w:num>
  <w:num w:numId="9">
    <w:abstractNumId w:val="7"/>
  </w:num>
  <w:num w:numId="10">
    <w:abstractNumId w:val="10"/>
  </w:num>
  <w:num w:numId="11">
    <w:abstractNumId w:val="15"/>
  </w:num>
  <w:num w:numId="12">
    <w:abstractNumId w:val="8"/>
  </w:num>
  <w:num w:numId="13">
    <w:abstractNumId w:val="24"/>
  </w:num>
  <w:num w:numId="14">
    <w:abstractNumId w:val="25"/>
  </w:num>
  <w:num w:numId="15">
    <w:abstractNumId w:val="4"/>
  </w:num>
  <w:num w:numId="16">
    <w:abstractNumId w:val="27"/>
  </w:num>
  <w:num w:numId="17">
    <w:abstractNumId w:val="22"/>
  </w:num>
  <w:num w:numId="18">
    <w:abstractNumId w:val="28"/>
  </w:num>
  <w:num w:numId="19">
    <w:abstractNumId w:val="16"/>
  </w:num>
  <w:num w:numId="20">
    <w:abstractNumId w:val="21"/>
  </w:num>
  <w:num w:numId="21">
    <w:abstractNumId w:val="26"/>
  </w:num>
  <w:num w:numId="22">
    <w:abstractNumId w:val="17"/>
  </w:num>
  <w:num w:numId="23">
    <w:abstractNumId w:val="11"/>
  </w:num>
  <w:num w:numId="24">
    <w:abstractNumId w:val="5"/>
  </w:num>
  <w:num w:numId="25">
    <w:abstractNumId w:val="6"/>
  </w:num>
  <w:num w:numId="26">
    <w:abstractNumId w:val="20"/>
  </w:num>
  <w:num w:numId="27">
    <w:abstractNumId w:val="29"/>
  </w:num>
  <w:num w:numId="28">
    <w:abstractNumId w:val="23"/>
  </w:num>
  <w:num w:numId="29">
    <w:abstractNumId w:val="1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AA"/>
    <w:rsid w:val="00094A10"/>
    <w:rsid w:val="002525AA"/>
    <w:rsid w:val="004C54D4"/>
    <w:rsid w:val="00594AFF"/>
    <w:rsid w:val="006C34B5"/>
    <w:rsid w:val="00E04E89"/>
    <w:rsid w:val="00E645DA"/>
    <w:rsid w:val="00E8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0699"/>
  <w15:docId w15:val="{56A6C566-1152-4DAF-98F2-055C37DA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00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dcterms:created xsi:type="dcterms:W3CDTF">2022-10-12T13:32:00Z</dcterms:created>
  <dcterms:modified xsi:type="dcterms:W3CDTF">2022-10-12T13:32:00Z</dcterms:modified>
</cp:coreProperties>
</file>